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3D14" w14:textId="77777777" w:rsidR="00734F32" w:rsidRDefault="00734F32" w:rsidP="00CA17E0">
      <w:pPr>
        <w:pStyle w:val="NormalWeb"/>
        <w:spacing w:before="0" w:beforeAutospacing="0" w:after="0" w:afterAutospacing="0"/>
        <w:jc w:val="center"/>
        <w:rPr>
          <w:rFonts w:ascii="Arial" w:eastAsiaTheme="minorEastAsia" w:hAnsi="Arial" w:cs="Arial"/>
          <w:b/>
          <w:bCs/>
          <w:kern w:val="24"/>
          <w:sz w:val="22"/>
          <w:szCs w:val="22"/>
          <w:lang w:val="en-US"/>
        </w:rPr>
      </w:pPr>
    </w:p>
    <w:p w14:paraId="4167E7E3" w14:textId="08D7FA70" w:rsidR="00EF3339" w:rsidRPr="000D4B17" w:rsidRDefault="00EF3339" w:rsidP="00CA17E0">
      <w:pPr>
        <w:pStyle w:val="NormalWeb"/>
        <w:spacing w:before="0" w:beforeAutospacing="0" w:after="0" w:afterAutospacing="0"/>
        <w:jc w:val="center"/>
        <w:rPr>
          <w:rFonts w:ascii="Arial" w:eastAsiaTheme="minorEastAsia" w:hAnsi="Arial" w:cs="Arial"/>
          <w:b/>
          <w:bCs/>
          <w:kern w:val="24"/>
          <w:sz w:val="22"/>
          <w:szCs w:val="22"/>
          <w:lang w:val="en-US"/>
        </w:rPr>
      </w:pPr>
      <w:r w:rsidRPr="000D4B17">
        <w:rPr>
          <w:rFonts w:ascii="Arial" w:eastAsiaTheme="minorEastAsia" w:hAnsi="Arial" w:cs="Arial"/>
          <w:b/>
          <w:bCs/>
          <w:kern w:val="24"/>
          <w:sz w:val="22"/>
          <w:szCs w:val="22"/>
          <w:lang w:val="en-US"/>
        </w:rPr>
        <w:t>GENDER PAY GAP REPORT – 202</w:t>
      </w:r>
      <w:r w:rsidR="00115C96" w:rsidRPr="000D4B17">
        <w:rPr>
          <w:rFonts w:ascii="Arial" w:eastAsiaTheme="minorEastAsia" w:hAnsi="Arial" w:cs="Arial"/>
          <w:b/>
          <w:bCs/>
          <w:kern w:val="24"/>
          <w:sz w:val="22"/>
          <w:szCs w:val="22"/>
          <w:lang w:val="en-US"/>
        </w:rPr>
        <w:t>2</w:t>
      </w:r>
    </w:p>
    <w:p w14:paraId="433C41E5" w14:textId="77777777" w:rsidR="00CA17E0" w:rsidRPr="000D4B17" w:rsidRDefault="00CA17E0" w:rsidP="00CA17E0">
      <w:pPr>
        <w:pStyle w:val="NormalWeb"/>
        <w:spacing w:before="0" w:beforeAutospacing="0" w:after="0" w:afterAutospacing="0"/>
        <w:rPr>
          <w:rFonts w:ascii="Arial" w:eastAsiaTheme="minorEastAsia" w:hAnsi="Arial" w:cs="Arial"/>
          <w:kern w:val="24"/>
          <w:sz w:val="22"/>
          <w:szCs w:val="22"/>
          <w:lang w:val="en-US"/>
        </w:rPr>
      </w:pPr>
    </w:p>
    <w:p w14:paraId="63418AA7" w14:textId="5144A71E" w:rsidR="00D2241C" w:rsidRPr="000D4B17" w:rsidRDefault="00D2241C" w:rsidP="00B66A2D">
      <w:pPr>
        <w:pStyle w:val="NormalWeb"/>
        <w:spacing w:before="0" w:beforeAutospacing="0" w:after="0" w:afterAutospacing="0"/>
        <w:jc w:val="both"/>
        <w:rPr>
          <w:rFonts w:ascii="Arial" w:eastAsiaTheme="minorEastAsia" w:hAnsi="Arial" w:cs="Arial"/>
          <w:kern w:val="24"/>
          <w:sz w:val="22"/>
          <w:szCs w:val="22"/>
          <w:lang w:val="en-US"/>
        </w:rPr>
      </w:pPr>
      <w:r w:rsidRPr="000D4B17">
        <w:rPr>
          <w:rFonts w:ascii="Arial" w:eastAsiaTheme="minorEastAsia" w:hAnsi="Arial" w:cs="Arial"/>
          <w:kern w:val="24"/>
          <w:sz w:val="22"/>
          <w:szCs w:val="22"/>
          <w:lang w:val="en-US"/>
        </w:rPr>
        <w:t xml:space="preserve">On 1 April, 2017 the Government introduced the Equality Act 2010 (Gender Pay Information) Regulations 2017. This requires </w:t>
      </w:r>
      <w:r w:rsidR="003F4E06" w:rsidRPr="000D4B17">
        <w:rPr>
          <w:rFonts w:ascii="Arial" w:eastAsiaTheme="minorEastAsia" w:hAnsi="Arial" w:cs="Arial"/>
          <w:kern w:val="24"/>
          <w:sz w:val="22"/>
          <w:szCs w:val="22"/>
          <w:lang w:val="en-US"/>
        </w:rPr>
        <w:t>New Directions</w:t>
      </w:r>
      <w:r w:rsidRPr="000D4B17">
        <w:rPr>
          <w:rFonts w:ascii="Arial" w:eastAsiaTheme="minorEastAsia" w:hAnsi="Arial" w:cs="Arial"/>
          <w:kern w:val="24"/>
          <w:sz w:val="22"/>
          <w:szCs w:val="22"/>
          <w:lang w:val="en-US"/>
        </w:rPr>
        <w:t xml:space="preserve"> to calculate </w:t>
      </w:r>
      <w:r w:rsidR="003F4E06" w:rsidRPr="000D4B17">
        <w:rPr>
          <w:rFonts w:ascii="Arial" w:eastAsiaTheme="minorEastAsia" w:hAnsi="Arial" w:cs="Arial"/>
          <w:kern w:val="24"/>
          <w:sz w:val="22"/>
          <w:szCs w:val="22"/>
          <w:lang w:val="en-US"/>
        </w:rPr>
        <w:t>g</w:t>
      </w:r>
      <w:r w:rsidRPr="000D4B17">
        <w:rPr>
          <w:rFonts w:ascii="Arial" w:eastAsiaTheme="minorEastAsia" w:hAnsi="Arial" w:cs="Arial"/>
          <w:kern w:val="24"/>
          <w:sz w:val="22"/>
          <w:szCs w:val="22"/>
          <w:lang w:val="en-US"/>
        </w:rPr>
        <w:t xml:space="preserve">ender </w:t>
      </w:r>
      <w:r w:rsidR="003F4E06" w:rsidRPr="000D4B17">
        <w:rPr>
          <w:rFonts w:ascii="Arial" w:eastAsiaTheme="minorEastAsia" w:hAnsi="Arial" w:cs="Arial"/>
          <w:kern w:val="24"/>
          <w:sz w:val="22"/>
          <w:szCs w:val="22"/>
          <w:lang w:val="en-US"/>
        </w:rPr>
        <w:t>p</w:t>
      </w:r>
      <w:r w:rsidRPr="000D4B17">
        <w:rPr>
          <w:rFonts w:ascii="Arial" w:eastAsiaTheme="minorEastAsia" w:hAnsi="Arial" w:cs="Arial"/>
          <w:kern w:val="24"/>
          <w:sz w:val="22"/>
          <w:szCs w:val="22"/>
          <w:lang w:val="en-US"/>
        </w:rPr>
        <w:t>ay data</w:t>
      </w:r>
      <w:r w:rsidR="00A32DBF" w:rsidRPr="000D4B17">
        <w:rPr>
          <w:rFonts w:ascii="Arial" w:eastAsiaTheme="minorEastAsia" w:hAnsi="Arial" w:cs="Arial"/>
          <w:kern w:val="24"/>
          <w:sz w:val="22"/>
          <w:szCs w:val="22"/>
          <w:lang w:val="en-US"/>
        </w:rPr>
        <w:t>,</w:t>
      </w:r>
      <w:r w:rsidRPr="000D4B17">
        <w:rPr>
          <w:rFonts w:ascii="Arial" w:eastAsiaTheme="minorEastAsia" w:hAnsi="Arial" w:cs="Arial"/>
          <w:kern w:val="24"/>
          <w:sz w:val="22"/>
          <w:szCs w:val="22"/>
          <w:lang w:val="en-US"/>
        </w:rPr>
        <w:t xml:space="preserve"> based on our workforce on 5 April each year.</w:t>
      </w:r>
    </w:p>
    <w:p w14:paraId="19938E5F" w14:textId="77777777" w:rsidR="00B66A2D" w:rsidRPr="000D4B17" w:rsidRDefault="00B66A2D" w:rsidP="00B66A2D">
      <w:pPr>
        <w:pStyle w:val="NormalWeb"/>
        <w:spacing w:before="0" w:beforeAutospacing="0" w:after="0" w:afterAutospacing="0"/>
        <w:jc w:val="both"/>
        <w:rPr>
          <w:rFonts w:ascii="Arial" w:eastAsiaTheme="minorEastAsia" w:hAnsi="Arial" w:cs="Arial"/>
          <w:kern w:val="24"/>
          <w:sz w:val="22"/>
          <w:szCs w:val="22"/>
          <w:lang w:val="en-US"/>
        </w:rPr>
      </w:pPr>
    </w:p>
    <w:p w14:paraId="4944D769" w14:textId="43D87401" w:rsidR="00D26879" w:rsidRPr="000D4B17" w:rsidRDefault="00FD18D0" w:rsidP="00B66A2D">
      <w:pPr>
        <w:pStyle w:val="NormalWeb"/>
        <w:spacing w:before="0" w:beforeAutospacing="0" w:after="0" w:afterAutospacing="0"/>
        <w:jc w:val="both"/>
        <w:rPr>
          <w:rFonts w:ascii="Arial" w:eastAsiaTheme="minorEastAsia" w:hAnsi="Arial" w:cs="Arial"/>
          <w:kern w:val="24"/>
          <w:sz w:val="22"/>
          <w:szCs w:val="22"/>
          <w:lang w:val="en-US"/>
        </w:rPr>
      </w:pPr>
      <w:r w:rsidRPr="000D4B17">
        <w:rPr>
          <w:rFonts w:ascii="Arial" w:eastAsiaTheme="minorEastAsia" w:hAnsi="Arial" w:cs="Arial"/>
          <w:kern w:val="24"/>
          <w:sz w:val="22"/>
          <w:szCs w:val="22"/>
          <w:lang w:val="en-US"/>
        </w:rPr>
        <w:t>We are</w:t>
      </w:r>
      <w:r w:rsidR="00D26879" w:rsidRPr="000D4B17">
        <w:rPr>
          <w:rFonts w:ascii="Arial" w:eastAsiaTheme="minorEastAsia" w:hAnsi="Arial" w:cs="Arial"/>
          <w:kern w:val="24"/>
          <w:sz w:val="22"/>
          <w:szCs w:val="22"/>
          <w:lang w:val="en-US"/>
        </w:rPr>
        <w:t xml:space="preserve"> a leading provider of adult social care services within the borough of Sefton. Our aim is to provide the highest quality of care and support for adults of all ages who have learning or physical disabilities, mental health support needs and older people.</w:t>
      </w:r>
      <w:r w:rsidR="00A32DBF" w:rsidRPr="000D4B17">
        <w:rPr>
          <w:rFonts w:ascii="Arial" w:eastAsiaTheme="minorEastAsia" w:hAnsi="Arial" w:cs="Arial"/>
          <w:kern w:val="24"/>
          <w:sz w:val="22"/>
          <w:szCs w:val="22"/>
          <w:lang w:val="en-US"/>
        </w:rPr>
        <w:t xml:space="preserve"> </w:t>
      </w:r>
      <w:r w:rsidR="00D26879" w:rsidRPr="000D4B17">
        <w:rPr>
          <w:rFonts w:ascii="Arial" w:eastAsiaTheme="minorEastAsia" w:hAnsi="Arial" w:cs="Arial"/>
          <w:kern w:val="24"/>
          <w:sz w:val="22"/>
          <w:szCs w:val="22"/>
          <w:lang w:val="en-US"/>
        </w:rPr>
        <w:t>We promote independent living, encouraging and supporting individuals to fulfil their aspirations.</w:t>
      </w:r>
    </w:p>
    <w:p w14:paraId="735B3DA9" w14:textId="77777777" w:rsidR="00D26879" w:rsidRPr="000D4B17" w:rsidRDefault="00D26879" w:rsidP="00B66A2D">
      <w:pPr>
        <w:pStyle w:val="NormalWeb"/>
        <w:spacing w:before="0" w:beforeAutospacing="0" w:after="0" w:afterAutospacing="0"/>
        <w:jc w:val="both"/>
        <w:rPr>
          <w:rFonts w:ascii="Arial" w:eastAsiaTheme="minorEastAsia" w:hAnsi="Arial" w:cs="Arial"/>
          <w:kern w:val="24"/>
          <w:sz w:val="22"/>
          <w:szCs w:val="22"/>
          <w:lang w:val="en-US"/>
        </w:rPr>
      </w:pPr>
    </w:p>
    <w:p w14:paraId="25FA588E" w14:textId="517B62D5" w:rsidR="00313192" w:rsidRPr="000D4B17" w:rsidRDefault="00FD18D0" w:rsidP="00B66A2D">
      <w:pPr>
        <w:pStyle w:val="NormalWeb"/>
        <w:spacing w:before="0" w:beforeAutospacing="0" w:after="0" w:afterAutospacing="0"/>
        <w:jc w:val="both"/>
        <w:rPr>
          <w:rFonts w:ascii="Arial" w:eastAsiaTheme="minorEastAsia" w:hAnsi="Arial" w:cs="Arial"/>
          <w:kern w:val="24"/>
          <w:sz w:val="22"/>
          <w:szCs w:val="22"/>
          <w:lang w:val="en-US"/>
        </w:rPr>
      </w:pPr>
      <w:r w:rsidRPr="000D4B17">
        <w:rPr>
          <w:rFonts w:ascii="Arial" w:eastAsiaTheme="minorEastAsia" w:hAnsi="Arial" w:cs="Arial"/>
          <w:kern w:val="24"/>
          <w:sz w:val="22"/>
          <w:szCs w:val="22"/>
          <w:lang w:val="en-US"/>
        </w:rPr>
        <w:t>We aspire</w:t>
      </w:r>
      <w:r w:rsidR="00313192" w:rsidRPr="000D4B17">
        <w:rPr>
          <w:rFonts w:ascii="Arial" w:eastAsiaTheme="minorEastAsia" w:hAnsi="Arial" w:cs="Arial"/>
          <w:kern w:val="24"/>
          <w:sz w:val="22"/>
          <w:szCs w:val="22"/>
          <w:lang w:val="en-US"/>
        </w:rPr>
        <w:t xml:space="preserve"> to become the Employer of Choice</w:t>
      </w:r>
      <w:r w:rsidR="00115C96" w:rsidRPr="000D4B17">
        <w:rPr>
          <w:rFonts w:ascii="Arial" w:eastAsiaTheme="minorEastAsia" w:hAnsi="Arial" w:cs="Arial"/>
          <w:kern w:val="24"/>
          <w:sz w:val="22"/>
          <w:szCs w:val="22"/>
          <w:lang w:val="en-US"/>
        </w:rPr>
        <w:t>;</w:t>
      </w:r>
      <w:r w:rsidR="00313192" w:rsidRPr="000D4B17">
        <w:rPr>
          <w:rFonts w:ascii="Arial" w:eastAsiaTheme="minorEastAsia" w:hAnsi="Arial" w:cs="Arial"/>
          <w:kern w:val="24"/>
          <w:sz w:val="22"/>
          <w:szCs w:val="22"/>
          <w:lang w:val="en-US"/>
        </w:rPr>
        <w:t xml:space="preserve"> attracting and retaining the best talent from the local labour market wherever possible</w:t>
      </w:r>
      <w:r w:rsidR="003E3384" w:rsidRPr="000D4B17">
        <w:rPr>
          <w:rFonts w:ascii="Arial" w:eastAsiaTheme="minorEastAsia" w:hAnsi="Arial" w:cs="Arial"/>
          <w:kern w:val="24"/>
          <w:sz w:val="22"/>
          <w:szCs w:val="22"/>
          <w:lang w:val="en-US"/>
        </w:rPr>
        <w:t>. We</w:t>
      </w:r>
      <w:r w:rsidR="00313192" w:rsidRPr="000D4B17">
        <w:rPr>
          <w:rFonts w:ascii="Arial" w:eastAsiaTheme="minorEastAsia" w:hAnsi="Arial" w:cs="Arial"/>
          <w:kern w:val="24"/>
          <w:sz w:val="22"/>
          <w:szCs w:val="22"/>
          <w:lang w:val="en-US"/>
        </w:rPr>
        <w:t xml:space="preserve"> are</w:t>
      </w:r>
      <w:r w:rsidR="00BF4CEC" w:rsidRPr="000D4B17">
        <w:rPr>
          <w:rFonts w:ascii="Arial" w:eastAsiaTheme="minorEastAsia" w:hAnsi="Arial" w:cs="Arial"/>
          <w:kern w:val="24"/>
          <w:sz w:val="22"/>
          <w:szCs w:val="22"/>
          <w:lang w:val="en-US"/>
        </w:rPr>
        <w:t xml:space="preserve"> committed to ensuring equality and fairness </w:t>
      </w:r>
      <w:r w:rsidR="00313192" w:rsidRPr="000D4B17">
        <w:rPr>
          <w:rFonts w:ascii="Arial" w:eastAsiaTheme="minorEastAsia" w:hAnsi="Arial" w:cs="Arial"/>
          <w:kern w:val="24"/>
          <w:sz w:val="22"/>
          <w:szCs w:val="22"/>
          <w:lang w:val="en-US"/>
        </w:rPr>
        <w:t>in pay for all our workforce.</w:t>
      </w:r>
    </w:p>
    <w:p w14:paraId="6A4FA584" w14:textId="0C8D9917" w:rsidR="00313192" w:rsidRPr="000D4B17" w:rsidRDefault="00313192" w:rsidP="00B66A2D">
      <w:pPr>
        <w:spacing w:after="0" w:line="240" w:lineRule="auto"/>
        <w:jc w:val="both"/>
        <w:textAlignment w:val="baseline"/>
        <w:rPr>
          <w:rFonts w:ascii="Arial" w:hAnsi="Arial" w:cs="Arial"/>
        </w:rPr>
      </w:pPr>
    </w:p>
    <w:p w14:paraId="3C29B0F8" w14:textId="0D8B2AB4" w:rsidR="00EC0847" w:rsidRPr="000D4B17" w:rsidRDefault="00EC0847" w:rsidP="00B66A2D">
      <w:pPr>
        <w:pStyle w:val="NormalWeb"/>
        <w:spacing w:before="0" w:beforeAutospacing="0" w:after="0" w:afterAutospacing="0"/>
        <w:jc w:val="both"/>
        <w:rPr>
          <w:rFonts w:ascii="Arial" w:eastAsiaTheme="minorEastAsia" w:hAnsi="Arial" w:cs="Arial"/>
          <w:kern w:val="24"/>
          <w:sz w:val="22"/>
          <w:szCs w:val="22"/>
          <w:lang w:val="en-US"/>
        </w:rPr>
      </w:pPr>
      <w:r w:rsidRPr="000D4B17">
        <w:rPr>
          <w:rFonts w:ascii="Arial" w:eastAsiaTheme="minorEastAsia" w:hAnsi="Arial" w:cs="Arial"/>
          <w:kern w:val="24"/>
          <w:sz w:val="22"/>
          <w:szCs w:val="22"/>
          <w:lang w:val="en-US"/>
        </w:rPr>
        <w:t>On 5 April 202</w:t>
      </w:r>
      <w:r w:rsidR="00060D67" w:rsidRPr="000D4B17">
        <w:rPr>
          <w:rFonts w:ascii="Arial" w:eastAsiaTheme="minorEastAsia" w:hAnsi="Arial" w:cs="Arial"/>
          <w:kern w:val="24"/>
          <w:sz w:val="22"/>
          <w:szCs w:val="22"/>
          <w:lang w:val="en-US"/>
        </w:rPr>
        <w:t>2</w:t>
      </w:r>
      <w:r w:rsidRPr="000D4B17">
        <w:rPr>
          <w:rFonts w:ascii="Arial" w:eastAsiaTheme="minorEastAsia" w:hAnsi="Arial" w:cs="Arial"/>
          <w:kern w:val="24"/>
          <w:sz w:val="22"/>
          <w:szCs w:val="22"/>
          <w:lang w:val="en-US"/>
        </w:rPr>
        <w:t xml:space="preserve"> </w:t>
      </w:r>
      <w:r w:rsidR="003E3384" w:rsidRPr="000D4B17">
        <w:rPr>
          <w:rFonts w:ascii="Arial" w:eastAsiaTheme="minorEastAsia" w:hAnsi="Arial" w:cs="Arial"/>
          <w:kern w:val="24"/>
          <w:sz w:val="22"/>
          <w:szCs w:val="22"/>
          <w:lang w:val="en-US"/>
        </w:rPr>
        <w:t xml:space="preserve">our workforce of </w:t>
      </w:r>
      <w:r w:rsidR="00115C96" w:rsidRPr="000D4B17">
        <w:rPr>
          <w:rFonts w:ascii="Arial" w:eastAsiaTheme="minorEastAsia" w:hAnsi="Arial" w:cs="Arial"/>
          <w:kern w:val="24"/>
          <w:sz w:val="22"/>
          <w:szCs w:val="22"/>
          <w:lang w:val="en-US"/>
        </w:rPr>
        <w:t>355</w:t>
      </w:r>
      <w:r w:rsidR="00D2241C" w:rsidRPr="000D4B17">
        <w:rPr>
          <w:rFonts w:ascii="Arial" w:eastAsiaTheme="minorEastAsia" w:hAnsi="Arial" w:cs="Arial"/>
          <w:kern w:val="24"/>
          <w:sz w:val="22"/>
          <w:szCs w:val="22"/>
          <w:lang w:val="en-US"/>
        </w:rPr>
        <w:t xml:space="preserve"> staff </w:t>
      </w:r>
      <w:r w:rsidR="003E3384" w:rsidRPr="000D4B17">
        <w:rPr>
          <w:rFonts w:ascii="Arial" w:eastAsiaTheme="minorEastAsia" w:hAnsi="Arial" w:cs="Arial"/>
          <w:kern w:val="24"/>
          <w:sz w:val="22"/>
          <w:szCs w:val="22"/>
          <w:lang w:val="en-US"/>
        </w:rPr>
        <w:t>was predominately female (</w:t>
      </w:r>
      <w:r w:rsidR="00367A8C" w:rsidRPr="000D4B17">
        <w:rPr>
          <w:rFonts w:ascii="Arial" w:eastAsiaTheme="minorEastAsia" w:hAnsi="Arial" w:cs="Arial"/>
          <w:kern w:val="24"/>
          <w:sz w:val="22"/>
          <w:szCs w:val="22"/>
          <w:lang w:val="en-US"/>
        </w:rPr>
        <w:t>88</w:t>
      </w:r>
      <w:r w:rsidRPr="000D4B17">
        <w:rPr>
          <w:rFonts w:ascii="Arial" w:eastAsiaTheme="minorEastAsia" w:hAnsi="Arial" w:cs="Arial"/>
          <w:kern w:val="24"/>
          <w:sz w:val="22"/>
          <w:szCs w:val="22"/>
          <w:lang w:val="en-US"/>
        </w:rPr>
        <w:t>.</w:t>
      </w:r>
      <w:r w:rsidR="00367A8C" w:rsidRPr="000D4B17">
        <w:rPr>
          <w:rFonts w:ascii="Arial" w:eastAsiaTheme="minorEastAsia" w:hAnsi="Arial" w:cs="Arial"/>
          <w:kern w:val="24"/>
          <w:sz w:val="22"/>
          <w:szCs w:val="22"/>
          <w:lang w:val="en-US"/>
        </w:rPr>
        <w:t>17</w:t>
      </w:r>
      <w:r w:rsidRPr="000D4B17">
        <w:rPr>
          <w:rFonts w:ascii="Arial" w:eastAsiaTheme="minorEastAsia" w:hAnsi="Arial" w:cs="Arial"/>
          <w:kern w:val="24"/>
          <w:sz w:val="22"/>
          <w:szCs w:val="22"/>
          <w:lang w:val="en-US"/>
        </w:rPr>
        <w:t>%</w:t>
      </w:r>
      <w:r w:rsidR="004F005C" w:rsidRPr="000D4B17">
        <w:rPr>
          <w:rFonts w:ascii="Arial" w:eastAsiaTheme="minorEastAsia" w:hAnsi="Arial" w:cs="Arial"/>
          <w:kern w:val="24"/>
          <w:sz w:val="22"/>
          <w:szCs w:val="22"/>
          <w:lang w:val="en-US"/>
        </w:rPr>
        <w:t>)</w:t>
      </w:r>
      <w:r w:rsidR="009265BE" w:rsidRPr="000D4B17">
        <w:rPr>
          <w:rFonts w:ascii="Arial" w:eastAsiaTheme="minorEastAsia" w:hAnsi="Arial" w:cs="Arial"/>
          <w:kern w:val="24"/>
          <w:sz w:val="22"/>
          <w:szCs w:val="22"/>
          <w:lang w:val="en-US"/>
        </w:rPr>
        <w:t>. This is not untypical of the social care sector.</w:t>
      </w:r>
    </w:p>
    <w:p w14:paraId="51A0522C" w14:textId="77777777" w:rsidR="00B66A2D" w:rsidRPr="000D4B17" w:rsidRDefault="00B66A2D" w:rsidP="00EC0847">
      <w:pPr>
        <w:pStyle w:val="NormalWeb"/>
        <w:spacing w:before="0" w:beforeAutospacing="0" w:after="0" w:afterAutospacing="0"/>
        <w:rPr>
          <w:rFonts w:ascii="Arial" w:eastAsiaTheme="minorEastAsia" w:hAnsi="Arial" w:cs="Arial"/>
          <w:kern w:val="24"/>
          <w:sz w:val="22"/>
          <w:szCs w:val="22"/>
          <w:lang w:val="en-US"/>
        </w:rPr>
      </w:pPr>
    </w:p>
    <w:p w14:paraId="25CC55E5" w14:textId="5E13383B" w:rsidR="004F005C" w:rsidRPr="000D4B17" w:rsidRDefault="004F005C" w:rsidP="00EC0847">
      <w:pPr>
        <w:pStyle w:val="NormalWeb"/>
        <w:spacing w:before="0" w:beforeAutospacing="0" w:after="0" w:afterAutospacing="0"/>
        <w:rPr>
          <w:rFonts w:ascii="Arial" w:eastAsiaTheme="minorEastAsia" w:hAnsi="Arial" w:cs="Arial"/>
          <w:b/>
          <w:bCs/>
          <w:kern w:val="24"/>
          <w:sz w:val="22"/>
          <w:szCs w:val="22"/>
          <w:lang w:val="en-US"/>
        </w:rPr>
      </w:pPr>
      <w:r w:rsidRPr="000D4B17">
        <w:rPr>
          <w:rFonts w:ascii="Arial" w:eastAsiaTheme="minorEastAsia" w:hAnsi="Arial" w:cs="Arial"/>
          <w:b/>
          <w:bCs/>
          <w:kern w:val="24"/>
          <w:sz w:val="22"/>
          <w:szCs w:val="22"/>
          <w:lang w:val="en-US"/>
        </w:rPr>
        <w:t>GENDER MEAN AND MEDIAN PAY GAP</w:t>
      </w:r>
    </w:p>
    <w:p w14:paraId="22611DCE" w14:textId="02C130AC" w:rsidR="004F005C" w:rsidRPr="000D4B17" w:rsidRDefault="004F005C" w:rsidP="00EC0847">
      <w:pPr>
        <w:pStyle w:val="NormalWeb"/>
        <w:spacing w:before="0" w:beforeAutospacing="0" w:after="0" w:afterAutospacing="0"/>
        <w:rPr>
          <w:rFonts w:ascii="Arial" w:eastAsiaTheme="minorEastAsia" w:hAnsi="Arial" w:cs="Arial"/>
          <w:kern w:val="24"/>
          <w:sz w:val="22"/>
          <w:szCs w:val="22"/>
          <w:lang w:val="en-US"/>
        </w:rPr>
      </w:pPr>
    </w:p>
    <w:tbl>
      <w:tblPr>
        <w:tblStyle w:val="TableGrid"/>
        <w:tblW w:w="0" w:type="auto"/>
        <w:tblLook w:val="04A0" w:firstRow="1" w:lastRow="0" w:firstColumn="1" w:lastColumn="0" w:noHBand="0" w:noVBand="1"/>
      </w:tblPr>
      <w:tblGrid>
        <w:gridCol w:w="4508"/>
        <w:gridCol w:w="4508"/>
      </w:tblGrid>
      <w:tr w:rsidR="004F005C" w:rsidRPr="000D4B17" w14:paraId="73BBF121" w14:textId="77777777" w:rsidTr="004F005C">
        <w:tc>
          <w:tcPr>
            <w:tcW w:w="4508" w:type="dxa"/>
            <w:shd w:val="clear" w:color="auto" w:fill="E2EFD9" w:themeFill="accent6" w:themeFillTint="33"/>
          </w:tcPr>
          <w:p w14:paraId="44712790" w14:textId="297CA7C5" w:rsidR="004F005C" w:rsidRPr="000D4B17" w:rsidRDefault="004F005C" w:rsidP="00EC0847">
            <w:pPr>
              <w:pStyle w:val="NormalWeb"/>
              <w:spacing w:before="0" w:beforeAutospacing="0" w:after="0" w:afterAutospacing="0"/>
              <w:rPr>
                <w:rFonts w:ascii="Arial" w:hAnsi="Arial" w:cs="Arial"/>
                <w:b/>
                <w:bCs/>
                <w:sz w:val="22"/>
                <w:szCs w:val="22"/>
              </w:rPr>
            </w:pPr>
            <w:r w:rsidRPr="000D4B17">
              <w:rPr>
                <w:rFonts w:ascii="Arial" w:hAnsi="Arial" w:cs="Arial"/>
                <w:b/>
                <w:bCs/>
                <w:sz w:val="22"/>
                <w:szCs w:val="22"/>
              </w:rPr>
              <w:t>Mean</w:t>
            </w:r>
          </w:p>
        </w:tc>
        <w:tc>
          <w:tcPr>
            <w:tcW w:w="4508" w:type="dxa"/>
            <w:shd w:val="clear" w:color="auto" w:fill="E2EFD9" w:themeFill="accent6" w:themeFillTint="33"/>
          </w:tcPr>
          <w:p w14:paraId="4407A118" w14:textId="5E4BA8C3" w:rsidR="004F005C" w:rsidRPr="000D4B17" w:rsidRDefault="004F005C" w:rsidP="00EC0847">
            <w:pPr>
              <w:pStyle w:val="NormalWeb"/>
              <w:spacing w:before="0" w:beforeAutospacing="0" w:after="0" w:afterAutospacing="0"/>
              <w:rPr>
                <w:rFonts w:ascii="Arial" w:hAnsi="Arial" w:cs="Arial"/>
                <w:b/>
                <w:bCs/>
                <w:sz w:val="22"/>
                <w:szCs w:val="22"/>
              </w:rPr>
            </w:pPr>
            <w:r w:rsidRPr="000D4B17">
              <w:rPr>
                <w:rFonts w:ascii="Arial" w:hAnsi="Arial" w:cs="Arial"/>
                <w:b/>
                <w:bCs/>
                <w:sz w:val="22"/>
                <w:szCs w:val="22"/>
              </w:rPr>
              <w:t>Median</w:t>
            </w:r>
          </w:p>
        </w:tc>
      </w:tr>
      <w:tr w:rsidR="004F005C" w:rsidRPr="000D4B17" w14:paraId="58231585" w14:textId="77777777" w:rsidTr="004F005C">
        <w:tc>
          <w:tcPr>
            <w:tcW w:w="4508" w:type="dxa"/>
          </w:tcPr>
          <w:p w14:paraId="0C1E6FE9" w14:textId="5213332C" w:rsidR="004F005C" w:rsidRPr="000D4B17" w:rsidRDefault="00367A8C" w:rsidP="00EC0847">
            <w:pPr>
              <w:pStyle w:val="NormalWeb"/>
              <w:spacing w:before="0" w:beforeAutospacing="0" w:after="0" w:afterAutospacing="0"/>
              <w:rPr>
                <w:rFonts w:ascii="Arial" w:hAnsi="Arial" w:cs="Arial"/>
                <w:sz w:val="22"/>
                <w:szCs w:val="22"/>
              </w:rPr>
            </w:pPr>
            <w:r w:rsidRPr="000D4B17">
              <w:rPr>
                <w:rFonts w:ascii="Arial" w:hAnsi="Arial" w:cs="Arial"/>
                <w:sz w:val="22"/>
                <w:szCs w:val="22"/>
              </w:rPr>
              <w:t>10</w:t>
            </w:r>
            <w:r w:rsidR="004F005C" w:rsidRPr="000D4B17">
              <w:rPr>
                <w:rFonts w:ascii="Arial" w:hAnsi="Arial" w:cs="Arial"/>
                <w:sz w:val="22"/>
                <w:szCs w:val="22"/>
              </w:rPr>
              <w:t>.</w:t>
            </w:r>
            <w:r w:rsidRPr="000D4B17">
              <w:rPr>
                <w:rFonts w:ascii="Arial" w:hAnsi="Arial" w:cs="Arial"/>
                <w:sz w:val="22"/>
                <w:szCs w:val="22"/>
              </w:rPr>
              <w:t>99</w:t>
            </w:r>
            <w:r w:rsidR="004F005C" w:rsidRPr="000D4B17">
              <w:rPr>
                <w:rFonts w:ascii="Arial" w:hAnsi="Arial" w:cs="Arial"/>
                <w:sz w:val="22"/>
                <w:szCs w:val="22"/>
              </w:rPr>
              <w:t>%</w:t>
            </w:r>
          </w:p>
        </w:tc>
        <w:tc>
          <w:tcPr>
            <w:tcW w:w="4508" w:type="dxa"/>
          </w:tcPr>
          <w:p w14:paraId="06B7E6EF" w14:textId="4F3F45B7" w:rsidR="004F005C" w:rsidRPr="000D4B17" w:rsidRDefault="00C452CF" w:rsidP="00EC0847">
            <w:pPr>
              <w:pStyle w:val="NormalWeb"/>
              <w:spacing w:before="0" w:beforeAutospacing="0" w:after="0" w:afterAutospacing="0"/>
              <w:rPr>
                <w:rFonts w:ascii="Arial" w:hAnsi="Arial" w:cs="Arial"/>
                <w:sz w:val="22"/>
                <w:szCs w:val="22"/>
              </w:rPr>
            </w:pPr>
            <w:r w:rsidRPr="000D4B17">
              <w:rPr>
                <w:rFonts w:ascii="Arial" w:hAnsi="Arial" w:cs="Arial"/>
                <w:sz w:val="22"/>
                <w:szCs w:val="22"/>
              </w:rPr>
              <w:t>1</w:t>
            </w:r>
            <w:r w:rsidR="004F005C" w:rsidRPr="000D4B17">
              <w:rPr>
                <w:rFonts w:ascii="Arial" w:hAnsi="Arial" w:cs="Arial"/>
                <w:sz w:val="22"/>
                <w:szCs w:val="22"/>
              </w:rPr>
              <w:t>.</w:t>
            </w:r>
            <w:r w:rsidRPr="000D4B17">
              <w:rPr>
                <w:rFonts w:ascii="Arial" w:hAnsi="Arial" w:cs="Arial"/>
                <w:sz w:val="22"/>
                <w:szCs w:val="22"/>
              </w:rPr>
              <w:t>93</w:t>
            </w:r>
            <w:r w:rsidR="004F005C" w:rsidRPr="000D4B17">
              <w:rPr>
                <w:rFonts w:ascii="Arial" w:hAnsi="Arial" w:cs="Arial"/>
                <w:sz w:val="22"/>
                <w:szCs w:val="22"/>
              </w:rPr>
              <w:t>%</w:t>
            </w:r>
          </w:p>
        </w:tc>
      </w:tr>
    </w:tbl>
    <w:p w14:paraId="4874D8E0" w14:textId="77777777" w:rsidR="004F005C" w:rsidRPr="000D4B17" w:rsidRDefault="004F005C" w:rsidP="00EC0847">
      <w:pPr>
        <w:pStyle w:val="NormalWeb"/>
        <w:spacing w:before="0" w:beforeAutospacing="0" w:after="0" w:afterAutospacing="0"/>
        <w:rPr>
          <w:sz w:val="22"/>
          <w:szCs w:val="22"/>
        </w:rPr>
      </w:pPr>
    </w:p>
    <w:p w14:paraId="3970CC6A" w14:textId="3E4BE885" w:rsidR="00EC0847" w:rsidRPr="000D4B17" w:rsidRDefault="00D36572" w:rsidP="00B66A2D">
      <w:pPr>
        <w:pStyle w:val="NormalWeb"/>
        <w:spacing w:before="0" w:beforeAutospacing="0" w:after="0" w:afterAutospacing="0"/>
        <w:jc w:val="both"/>
        <w:rPr>
          <w:rFonts w:ascii="Arial" w:eastAsiaTheme="minorEastAsia" w:hAnsi="Arial" w:cs="Arial"/>
          <w:kern w:val="24"/>
          <w:sz w:val="22"/>
          <w:szCs w:val="22"/>
          <w:lang w:val="en-US"/>
        </w:rPr>
      </w:pPr>
      <w:r w:rsidRPr="000D4B17">
        <w:rPr>
          <w:rFonts w:ascii="Arial" w:eastAsiaTheme="minorEastAsia" w:hAnsi="Arial" w:cs="Arial"/>
          <w:kern w:val="24"/>
          <w:sz w:val="22"/>
          <w:szCs w:val="22"/>
          <w:lang w:val="en-US"/>
        </w:rPr>
        <w:t>Our</w:t>
      </w:r>
      <w:r w:rsidR="00EC0847" w:rsidRPr="000D4B17">
        <w:rPr>
          <w:rFonts w:ascii="Arial" w:eastAsiaTheme="minorEastAsia" w:hAnsi="Arial" w:cs="Arial"/>
          <w:kern w:val="24"/>
          <w:sz w:val="22"/>
          <w:szCs w:val="22"/>
          <w:lang w:val="en-US"/>
        </w:rPr>
        <w:t xml:space="preserve"> gender pay gap is </w:t>
      </w:r>
      <w:r w:rsidR="0003395F">
        <w:rPr>
          <w:rFonts w:ascii="Arial" w:eastAsiaTheme="minorEastAsia" w:hAnsi="Arial" w:cs="Arial"/>
          <w:kern w:val="24"/>
          <w:sz w:val="22"/>
          <w:szCs w:val="22"/>
          <w:lang w:val="en-US"/>
        </w:rPr>
        <w:t>10</w:t>
      </w:r>
      <w:r w:rsidR="00EC0847" w:rsidRPr="000D4B17">
        <w:rPr>
          <w:rFonts w:ascii="Arial" w:eastAsiaTheme="minorEastAsia" w:hAnsi="Arial" w:cs="Arial"/>
          <w:kern w:val="24"/>
          <w:sz w:val="22"/>
          <w:szCs w:val="22"/>
          <w:lang w:val="en-US"/>
        </w:rPr>
        <w:t>.</w:t>
      </w:r>
      <w:r w:rsidR="0003395F">
        <w:rPr>
          <w:rFonts w:ascii="Arial" w:eastAsiaTheme="minorEastAsia" w:hAnsi="Arial" w:cs="Arial"/>
          <w:kern w:val="24"/>
          <w:sz w:val="22"/>
          <w:szCs w:val="22"/>
          <w:lang w:val="en-US"/>
        </w:rPr>
        <w:t>99</w:t>
      </w:r>
      <w:r w:rsidR="00EC0847" w:rsidRPr="000D4B17">
        <w:rPr>
          <w:rFonts w:ascii="Arial" w:eastAsiaTheme="minorEastAsia" w:hAnsi="Arial" w:cs="Arial"/>
          <w:kern w:val="24"/>
          <w:sz w:val="22"/>
          <w:szCs w:val="22"/>
          <w:lang w:val="en-US"/>
        </w:rPr>
        <w:t xml:space="preserve">%. This means that the average hourly rate for male employees is </w:t>
      </w:r>
      <w:r w:rsidR="00C452CF" w:rsidRPr="000D4B17">
        <w:rPr>
          <w:rFonts w:ascii="Arial" w:eastAsiaTheme="minorEastAsia" w:hAnsi="Arial" w:cs="Arial"/>
          <w:kern w:val="24"/>
          <w:sz w:val="22"/>
          <w:szCs w:val="22"/>
          <w:lang w:val="en-US"/>
        </w:rPr>
        <w:t>10</w:t>
      </w:r>
      <w:r w:rsidR="00EC0847" w:rsidRPr="000D4B17">
        <w:rPr>
          <w:rFonts w:ascii="Arial" w:eastAsiaTheme="minorEastAsia" w:hAnsi="Arial" w:cs="Arial"/>
          <w:kern w:val="24"/>
          <w:sz w:val="22"/>
          <w:szCs w:val="22"/>
          <w:lang w:val="en-US"/>
        </w:rPr>
        <w:t>.</w:t>
      </w:r>
      <w:r w:rsidR="00C452CF" w:rsidRPr="000D4B17">
        <w:rPr>
          <w:rFonts w:ascii="Arial" w:eastAsiaTheme="minorEastAsia" w:hAnsi="Arial" w:cs="Arial"/>
          <w:kern w:val="24"/>
          <w:sz w:val="22"/>
          <w:szCs w:val="22"/>
          <w:lang w:val="en-US"/>
        </w:rPr>
        <w:t>99</w:t>
      </w:r>
      <w:r w:rsidR="00EC0847" w:rsidRPr="000D4B17">
        <w:rPr>
          <w:rFonts w:ascii="Arial" w:eastAsiaTheme="minorEastAsia" w:hAnsi="Arial" w:cs="Arial"/>
          <w:kern w:val="24"/>
          <w:sz w:val="22"/>
          <w:szCs w:val="22"/>
          <w:lang w:val="en-US"/>
        </w:rPr>
        <w:t xml:space="preserve">% higher than female employees. This gap is </w:t>
      </w:r>
      <w:r w:rsidR="002A496B" w:rsidRPr="000D4B17">
        <w:rPr>
          <w:rFonts w:ascii="Arial" w:eastAsiaTheme="minorEastAsia" w:hAnsi="Arial" w:cs="Arial"/>
          <w:kern w:val="24"/>
          <w:sz w:val="22"/>
          <w:szCs w:val="22"/>
          <w:lang w:val="en-US"/>
        </w:rPr>
        <w:t>a</w:t>
      </w:r>
      <w:r w:rsidR="00237DB1" w:rsidRPr="000D4B17">
        <w:rPr>
          <w:rFonts w:ascii="Arial" w:eastAsiaTheme="minorEastAsia" w:hAnsi="Arial" w:cs="Arial"/>
          <w:kern w:val="24"/>
          <w:sz w:val="22"/>
          <w:szCs w:val="22"/>
          <w:lang w:val="en-US"/>
        </w:rPr>
        <w:t>n increase</w:t>
      </w:r>
      <w:r w:rsidR="002A496B" w:rsidRPr="000D4B17">
        <w:rPr>
          <w:rFonts w:ascii="Arial" w:eastAsiaTheme="minorEastAsia" w:hAnsi="Arial" w:cs="Arial"/>
          <w:kern w:val="24"/>
          <w:sz w:val="22"/>
          <w:szCs w:val="22"/>
          <w:lang w:val="en-US"/>
        </w:rPr>
        <w:t xml:space="preserve"> of </w:t>
      </w:r>
      <w:r w:rsidR="00237DB1" w:rsidRPr="000D4B17">
        <w:rPr>
          <w:rFonts w:ascii="Arial" w:eastAsiaTheme="minorEastAsia" w:hAnsi="Arial" w:cs="Arial"/>
          <w:kern w:val="24"/>
          <w:sz w:val="22"/>
          <w:szCs w:val="22"/>
          <w:lang w:val="en-US"/>
        </w:rPr>
        <w:t>2</w:t>
      </w:r>
      <w:r w:rsidR="002A496B" w:rsidRPr="000D4B17">
        <w:rPr>
          <w:rFonts w:ascii="Arial" w:eastAsiaTheme="minorEastAsia" w:hAnsi="Arial" w:cs="Arial"/>
          <w:kern w:val="24"/>
          <w:sz w:val="22"/>
          <w:szCs w:val="22"/>
          <w:lang w:val="en-US"/>
        </w:rPr>
        <w:t>.</w:t>
      </w:r>
      <w:r w:rsidR="00237DB1" w:rsidRPr="000D4B17">
        <w:rPr>
          <w:rFonts w:ascii="Arial" w:eastAsiaTheme="minorEastAsia" w:hAnsi="Arial" w:cs="Arial"/>
          <w:kern w:val="24"/>
          <w:sz w:val="22"/>
          <w:szCs w:val="22"/>
          <w:lang w:val="en-US"/>
        </w:rPr>
        <w:t>73</w:t>
      </w:r>
      <w:r w:rsidR="002A496B" w:rsidRPr="000D4B17">
        <w:rPr>
          <w:rFonts w:ascii="Arial" w:eastAsiaTheme="minorEastAsia" w:hAnsi="Arial" w:cs="Arial"/>
          <w:kern w:val="24"/>
          <w:sz w:val="22"/>
          <w:szCs w:val="22"/>
          <w:lang w:val="en-US"/>
        </w:rPr>
        <w:t>% from 202</w:t>
      </w:r>
      <w:r w:rsidR="00237DB1" w:rsidRPr="000D4B17">
        <w:rPr>
          <w:rFonts w:ascii="Arial" w:eastAsiaTheme="minorEastAsia" w:hAnsi="Arial" w:cs="Arial"/>
          <w:kern w:val="24"/>
          <w:sz w:val="22"/>
          <w:szCs w:val="22"/>
          <w:lang w:val="en-US"/>
        </w:rPr>
        <w:t>1</w:t>
      </w:r>
      <w:r w:rsidR="002A496B" w:rsidRPr="000D4B17">
        <w:rPr>
          <w:rFonts w:ascii="Arial" w:eastAsiaTheme="minorEastAsia" w:hAnsi="Arial" w:cs="Arial"/>
          <w:kern w:val="24"/>
          <w:sz w:val="22"/>
          <w:szCs w:val="22"/>
          <w:lang w:val="en-US"/>
        </w:rPr>
        <w:t xml:space="preserve"> </w:t>
      </w:r>
      <w:r w:rsidR="00EC0847" w:rsidRPr="000D4B17">
        <w:rPr>
          <w:rFonts w:ascii="Arial" w:eastAsiaTheme="minorEastAsia" w:hAnsi="Arial" w:cs="Arial"/>
          <w:kern w:val="24"/>
          <w:sz w:val="22"/>
          <w:szCs w:val="22"/>
          <w:lang w:val="en-US"/>
        </w:rPr>
        <w:t xml:space="preserve">due to </w:t>
      </w:r>
      <w:r w:rsidR="0003395F">
        <w:rPr>
          <w:rFonts w:ascii="Arial" w:eastAsiaTheme="minorEastAsia" w:hAnsi="Arial" w:cs="Arial"/>
          <w:kern w:val="24"/>
          <w:sz w:val="22"/>
          <w:szCs w:val="22"/>
          <w:lang w:val="en-US"/>
        </w:rPr>
        <w:t>more</w:t>
      </w:r>
      <w:r w:rsidR="003B1E88" w:rsidRPr="000D4B17">
        <w:rPr>
          <w:rFonts w:ascii="Arial" w:eastAsiaTheme="minorEastAsia" w:hAnsi="Arial" w:cs="Arial"/>
          <w:kern w:val="24"/>
          <w:sz w:val="22"/>
          <w:szCs w:val="22"/>
          <w:lang w:val="en-US"/>
        </w:rPr>
        <w:t xml:space="preserve"> </w:t>
      </w:r>
      <w:r w:rsidR="00EC0847" w:rsidRPr="000D4B17">
        <w:rPr>
          <w:rFonts w:ascii="Arial" w:eastAsiaTheme="minorEastAsia" w:hAnsi="Arial" w:cs="Arial"/>
          <w:kern w:val="24"/>
          <w:sz w:val="22"/>
          <w:szCs w:val="22"/>
          <w:lang w:val="en-US"/>
        </w:rPr>
        <w:t>male</w:t>
      </w:r>
      <w:r w:rsidR="0003395F">
        <w:rPr>
          <w:rFonts w:ascii="Arial" w:eastAsiaTheme="minorEastAsia" w:hAnsi="Arial" w:cs="Arial"/>
          <w:kern w:val="24"/>
          <w:sz w:val="22"/>
          <w:szCs w:val="22"/>
          <w:lang w:val="en-US"/>
        </w:rPr>
        <w:t>s</w:t>
      </w:r>
      <w:r w:rsidR="00EC0847" w:rsidRPr="000D4B17">
        <w:rPr>
          <w:rFonts w:ascii="Arial" w:eastAsiaTheme="minorEastAsia" w:hAnsi="Arial" w:cs="Arial"/>
          <w:kern w:val="24"/>
          <w:sz w:val="22"/>
          <w:szCs w:val="22"/>
          <w:lang w:val="en-US"/>
        </w:rPr>
        <w:t xml:space="preserve"> being employed in </w:t>
      </w:r>
      <w:r w:rsidR="0003395F">
        <w:rPr>
          <w:rFonts w:ascii="Arial" w:eastAsiaTheme="minorEastAsia" w:hAnsi="Arial" w:cs="Arial"/>
          <w:kern w:val="24"/>
          <w:sz w:val="22"/>
          <w:szCs w:val="22"/>
          <w:lang w:val="en-US"/>
        </w:rPr>
        <w:t xml:space="preserve">the </w:t>
      </w:r>
      <w:r w:rsidR="009301EE">
        <w:rPr>
          <w:rFonts w:ascii="Arial" w:eastAsiaTheme="minorEastAsia" w:hAnsi="Arial" w:cs="Arial"/>
          <w:kern w:val="24"/>
          <w:sz w:val="22"/>
          <w:szCs w:val="22"/>
          <w:lang w:val="en-US"/>
        </w:rPr>
        <w:t>upper mid quartile and upper quartile</w:t>
      </w:r>
      <w:r w:rsidR="00EC0847" w:rsidRPr="000D4B17">
        <w:rPr>
          <w:rFonts w:ascii="Arial" w:eastAsiaTheme="minorEastAsia" w:hAnsi="Arial" w:cs="Arial"/>
          <w:kern w:val="24"/>
          <w:sz w:val="22"/>
          <w:szCs w:val="22"/>
          <w:lang w:val="en-US"/>
        </w:rPr>
        <w:t xml:space="preserve">. </w:t>
      </w:r>
    </w:p>
    <w:p w14:paraId="69CCD8EA" w14:textId="72AA67CA" w:rsidR="004F005C" w:rsidRPr="000D4B17" w:rsidRDefault="004F005C" w:rsidP="00B66A2D">
      <w:pPr>
        <w:pStyle w:val="NormalWeb"/>
        <w:spacing w:before="0" w:beforeAutospacing="0" w:after="0" w:afterAutospacing="0"/>
        <w:jc w:val="both"/>
        <w:rPr>
          <w:rFonts w:ascii="Arial" w:eastAsiaTheme="minorEastAsia" w:hAnsi="Arial" w:cs="Arial"/>
          <w:kern w:val="24"/>
          <w:sz w:val="22"/>
          <w:szCs w:val="22"/>
          <w:lang w:val="en-US"/>
        </w:rPr>
      </w:pPr>
    </w:p>
    <w:p w14:paraId="0E5CA7F9" w14:textId="698CBB90" w:rsidR="004F005C" w:rsidRPr="000D4B17" w:rsidRDefault="00BF0B47" w:rsidP="00B66A2D">
      <w:pPr>
        <w:pStyle w:val="NormalWeb"/>
        <w:spacing w:before="0" w:beforeAutospacing="0" w:after="0" w:afterAutospacing="0"/>
        <w:jc w:val="both"/>
        <w:rPr>
          <w:sz w:val="22"/>
          <w:szCs w:val="22"/>
        </w:rPr>
      </w:pPr>
      <w:r w:rsidRPr="000D4B17">
        <w:rPr>
          <w:rFonts w:ascii="Arial" w:eastAsiaTheme="minorEastAsia" w:hAnsi="Arial" w:cs="Arial"/>
          <w:kern w:val="24"/>
          <w:sz w:val="22"/>
          <w:szCs w:val="22"/>
          <w:lang w:val="en-US"/>
        </w:rPr>
        <w:t xml:space="preserve">Our median gender pay gap is </w:t>
      </w:r>
      <w:r w:rsidR="00571F7D" w:rsidRPr="000D4B17">
        <w:rPr>
          <w:rFonts w:ascii="Arial" w:eastAsiaTheme="minorEastAsia" w:hAnsi="Arial" w:cs="Arial"/>
          <w:kern w:val="24"/>
          <w:sz w:val="22"/>
          <w:szCs w:val="22"/>
          <w:lang w:val="en-US"/>
        </w:rPr>
        <w:t>1</w:t>
      </w:r>
      <w:r w:rsidRPr="000D4B17">
        <w:rPr>
          <w:rFonts w:ascii="Arial" w:eastAsiaTheme="minorEastAsia" w:hAnsi="Arial" w:cs="Arial"/>
          <w:kern w:val="24"/>
          <w:sz w:val="22"/>
          <w:szCs w:val="22"/>
          <w:lang w:val="en-US"/>
        </w:rPr>
        <w:t>.</w:t>
      </w:r>
      <w:r w:rsidR="00571F7D" w:rsidRPr="000D4B17">
        <w:rPr>
          <w:rFonts w:ascii="Arial" w:eastAsiaTheme="minorEastAsia" w:hAnsi="Arial" w:cs="Arial"/>
          <w:kern w:val="24"/>
          <w:sz w:val="22"/>
          <w:szCs w:val="22"/>
          <w:lang w:val="en-US"/>
        </w:rPr>
        <w:t>93</w:t>
      </w:r>
      <w:r w:rsidR="00D20136" w:rsidRPr="000D4B17">
        <w:rPr>
          <w:rFonts w:ascii="Arial" w:eastAsiaTheme="minorEastAsia" w:hAnsi="Arial" w:cs="Arial"/>
          <w:kern w:val="24"/>
          <w:sz w:val="22"/>
          <w:szCs w:val="22"/>
          <w:lang w:val="en-US"/>
        </w:rPr>
        <w:t>%</w:t>
      </w:r>
      <w:r w:rsidR="00E557CE" w:rsidRPr="000D4B17">
        <w:rPr>
          <w:rFonts w:ascii="Arial" w:eastAsiaTheme="minorEastAsia" w:hAnsi="Arial" w:cs="Arial"/>
          <w:kern w:val="24"/>
          <w:sz w:val="22"/>
          <w:szCs w:val="22"/>
          <w:lang w:val="en-US"/>
        </w:rPr>
        <w:t>,</w:t>
      </w:r>
      <w:r w:rsidR="002A496B" w:rsidRPr="000D4B17">
        <w:rPr>
          <w:rFonts w:ascii="Arial" w:eastAsiaTheme="minorEastAsia" w:hAnsi="Arial" w:cs="Arial"/>
          <w:kern w:val="24"/>
          <w:sz w:val="22"/>
          <w:szCs w:val="22"/>
          <w:lang w:val="en-US"/>
        </w:rPr>
        <w:t xml:space="preserve"> a</w:t>
      </w:r>
      <w:r w:rsidR="00E557CE" w:rsidRPr="000D4B17">
        <w:rPr>
          <w:rFonts w:ascii="Arial" w:eastAsiaTheme="minorEastAsia" w:hAnsi="Arial" w:cs="Arial"/>
          <w:kern w:val="24"/>
          <w:sz w:val="22"/>
          <w:szCs w:val="22"/>
          <w:lang w:val="en-US"/>
        </w:rPr>
        <w:t xml:space="preserve"> reduction</w:t>
      </w:r>
      <w:r w:rsidR="002A496B" w:rsidRPr="000D4B17">
        <w:rPr>
          <w:rFonts w:ascii="Arial" w:eastAsiaTheme="minorEastAsia" w:hAnsi="Arial" w:cs="Arial"/>
          <w:kern w:val="24"/>
          <w:sz w:val="22"/>
          <w:szCs w:val="22"/>
          <w:lang w:val="en-US"/>
        </w:rPr>
        <w:t xml:space="preserve"> of </w:t>
      </w:r>
      <w:r w:rsidR="003D0F7A" w:rsidRPr="000D4B17">
        <w:rPr>
          <w:rFonts w:ascii="Arial" w:eastAsiaTheme="minorEastAsia" w:hAnsi="Arial" w:cs="Arial"/>
          <w:kern w:val="24"/>
          <w:sz w:val="22"/>
          <w:szCs w:val="22"/>
          <w:lang w:val="en-US"/>
        </w:rPr>
        <w:t>3</w:t>
      </w:r>
      <w:r w:rsidR="002A496B" w:rsidRPr="000D4B17">
        <w:rPr>
          <w:rFonts w:ascii="Arial" w:eastAsiaTheme="minorEastAsia" w:hAnsi="Arial" w:cs="Arial"/>
          <w:kern w:val="24"/>
          <w:sz w:val="22"/>
          <w:szCs w:val="22"/>
          <w:lang w:val="en-US"/>
        </w:rPr>
        <w:t>.</w:t>
      </w:r>
      <w:r w:rsidR="003D0F7A" w:rsidRPr="000D4B17">
        <w:rPr>
          <w:rFonts w:ascii="Arial" w:eastAsiaTheme="minorEastAsia" w:hAnsi="Arial" w:cs="Arial"/>
          <w:kern w:val="24"/>
          <w:sz w:val="22"/>
          <w:szCs w:val="22"/>
          <w:lang w:val="en-US"/>
        </w:rPr>
        <w:t>9</w:t>
      </w:r>
      <w:r w:rsidR="002A496B" w:rsidRPr="000D4B17">
        <w:rPr>
          <w:rFonts w:ascii="Arial" w:eastAsiaTheme="minorEastAsia" w:hAnsi="Arial" w:cs="Arial"/>
          <w:kern w:val="24"/>
          <w:sz w:val="22"/>
          <w:szCs w:val="22"/>
          <w:lang w:val="en-US"/>
        </w:rPr>
        <w:t>8</w:t>
      </w:r>
      <w:r w:rsidR="00D20136" w:rsidRPr="000D4B17">
        <w:rPr>
          <w:rFonts w:ascii="Arial" w:eastAsiaTheme="minorEastAsia" w:hAnsi="Arial" w:cs="Arial"/>
          <w:kern w:val="24"/>
          <w:sz w:val="22"/>
          <w:szCs w:val="22"/>
          <w:lang w:val="en-US"/>
        </w:rPr>
        <w:t>% from 202</w:t>
      </w:r>
      <w:r w:rsidR="00060D67" w:rsidRPr="000D4B17">
        <w:rPr>
          <w:rFonts w:ascii="Arial" w:eastAsiaTheme="minorEastAsia" w:hAnsi="Arial" w:cs="Arial"/>
          <w:kern w:val="24"/>
          <w:sz w:val="22"/>
          <w:szCs w:val="22"/>
          <w:lang w:val="en-US"/>
        </w:rPr>
        <w:t>1</w:t>
      </w:r>
      <w:r w:rsidR="00D20136" w:rsidRPr="000D4B17">
        <w:rPr>
          <w:rFonts w:ascii="Arial" w:eastAsiaTheme="minorEastAsia" w:hAnsi="Arial" w:cs="Arial"/>
          <w:kern w:val="24"/>
          <w:sz w:val="22"/>
          <w:szCs w:val="22"/>
          <w:lang w:val="en-US"/>
        </w:rPr>
        <w:t>.</w:t>
      </w:r>
      <w:r w:rsidR="00060D67" w:rsidRPr="000D4B17">
        <w:rPr>
          <w:rFonts w:ascii="Arial" w:eastAsiaTheme="minorEastAsia" w:hAnsi="Arial" w:cs="Arial"/>
          <w:kern w:val="24"/>
          <w:sz w:val="22"/>
          <w:szCs w:val="22"/>
          <w:lang w:val="en-US"/>
        </w:rPr>
        <w:t xml:space="preserve"> The reduction is due to more males being employed in the lower quartile.</w:t>
      </w:r>
      <w:r w:rsidRPr="000D4B17">
        <w:rPr>
          <w:rFonts w:ascii="Arial" w:eastAsiaTheme="minorEastAsia" w:hAnsi="Arial" w:cs="Arial"/>
          <w:kern w:val="24"/>
          <w:sz w:val="22"/>
          <w:szCs w:val="22"/>
          <w:lang w:val="en-US"/>
        </w:rPr>
        <w:t xml:space="preserve"> </w:t>
      </w:r>
    </w:p>
    <w:p w14:paraId="0A747B4A" w14:textId="48F1C178" w:rsidR="00163A78" w:rsidRPr="000D4B17" w:rsidRDefault="00163A78" w:rsidP="00B66A2D">
      <w:pPr>
        <w:spacing w:after="0" w:line="240" w:lineRule="auto"/>
        <w:jc w:val="both"/>
        <w:textAlignment w:val="baseline"/>
        <w:rPr>
          <w:rFonts w:ascii="Arial" w:hAnsi="Arial" w:cs="Arial"/>
        </w:rPr>
      </w:pPr>
    </w:p>
    <w:p w14:paraId="7D97FF78" w14:textId="0E7D4352" w:rsidR="00AA2EE5" w:rsidRPr="000D4B17" w:rsidRDefault="002C0799" w:rsidP="00B66A2D">
      <w:pPr>
        <w:spacing w:after="0" w:line="240" w:lineRule="auto"/>
        <w:jc w:val="both"/>
        <w:textAlignment w:val="baseline"/>
        <w:rPr>
          <w:rFonts w:ascii="Arial" w:hAnsi="Arial" w:cs="Arial"/>
          <w:b/>
          <w:bCs/>
        </w:rPr>
      </w:pPr>
      <w:r w:rsidRPr="000D4B17">
        <w:rPr>
          <w:rFonts w:ascii="Arial" w:hAnsi="Arial" w:cs="Arial"/>
          <w:b/>
          <w:bCs/>
        </w:rPr>
        <w:t>PAY QUARTILES</w:t>
      </w:r>
    </w:p>
    <w:p w14:paraId="1CEF8A9B" w14:textId="017D8186" w:rsidR="002C0799" w:rsidRPr="000D4B17" w:rsidRDefault="002C0799" w:rsidP="00B66A2D">
      <w:pPr>
        <w:spacing w:after="0" w:line="240" w:lineRule="auto"/>
        <w:jc w:val="both"/>
        <w:textAlignment w:val="baseline"/>
        <w:rPr>
          <w:rFonts w:ascii="Arial" w:hAnsi="Arial" w:cs="Arial"/>
        </w:rPr>
      </w:pPr>
    </w:p>
    <w:p w14:paraId="46DEAB00" w14:textId="23A0BDBA" w:rsidR="002C0799" w:rsidRPr="000D4B17" w:rsidRDefault="002C0799" w:rsidP="00B66A2D">
      <w:pPr>
        <w:spacing w:after="0" w:line="240" w:lineRule="auto"/>
        <w:jc w:val="both"/>
        <w:textAlignment w:val="baseline"/>
        <w:rPr>
          <w:rFonts w:ascii="Arial" w:hAnsi="Arial" w:cs="Arial"/>
        </w:rPr>
      </w:pPr>
      <w:r w:rsidRPr="000D4B17">
        <w:rPr>
          <w:rFonts w:ascii="Arial" w:hAnsi="Arial" w:cs="Arial"/>
        </w:rPr>
        <w:t>The following graph shows the gender distribution across four equally sized quartile pay bands.</w:t>
      </w:r>
    </w:p>
    <w:p w14:paraId="689B4423" w14:textId="77777777" w:rsidR="002C0799" w:rsidRPr="000D4B17" w:rsidRDefault="002C0799" w:rsidP="00313192">
      <w:pPr>
        <w:spacing w:after="0" w:line="240" w:lineRule="auto"/>
        <w:textAlignment w:val="baseline"/>
        <w:rPr>
          <w:rFonts w:ascii="Arial" w:hAnsi="Arial" w:cs="Arial"/>
        </w:rPr>
      </w:pPr>
    </w:p>
    <w:p w14:paraId="72E7BCA3" w14:textId="65681664" w:rsidR="00163A78" w:rsidRPr="000D4B17" w:rsidRDefault="00B66A2D" w:rsidP="00313192">
      <w:pPr>
        <w:spacing w:after="0" w:line="240" w:lineRule="auto"/>
        <w:textAlignment w:val="baseline"/>
        <w:rPr>
          <w:rFonts w:ascii="Arial" w:hAnsi="Arial" w:cs="Arial"/>
        </w:rPr>
      </w:pPr>
      <w:r w:rsidRPr="000D4B17">
        <w:rPr>
          <w:noProof/>
        </w:rPr>
        <w:drawing>
          <wp:inline distT="0" distB="0" distL="0" distR="0" wp14:anchorId="652FE493" wp14:editId="6F9DB82B">
            <wp:extent cx="5600700" cy="30022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29109E" w14:textId="71BC0166" w:rsidR="003E3384" w:rsidRPr="000D4B17" w:rsidRDefault="00E020D6" w:rsidP="00B66A2D">
      <w:pPr>
        <w:spacing w:after="0" w:line="240" w:lineRule="auto"/>
        <w:jc w:val="both"/>
        <w:textAlignment w:val="baseline"/>
        <w:rPr>
          <w:rFonts w:ascii="Arial" w:hAnsi="Arial" w:cs="Arial"/>
          <w:b/>
          <w:bCs/>
        </w:rPr>
      </w:pPr>
      <w:r w:rsidRPr="000D4B17">
        <w:rPr>
          <w:rFonts w:ascii="Arial" w:hAnsi="Arial" w:cs="Arial"/>
          <w:b/>
          <w:bCs/>
        </w:rPr>
        <w:lastRenderedPageBreak/>
        <w:t xml:space="preserve">MEAN AND MEDIUM </w:t>
      </w:r>
      <w:r w:rsidR="002C0799" w:rsidRPr="000D4B17">
        <w:rPr>
          <w:rFonts w:ascii="Arial" w:hAnsi="Arial" w:cs="Arial"/>
          <w:b/>
          <w:bCs/>
        </w:rPr>
        <w:t xml:space="preserve">BONUS </w:t>
      </w:r>
      <w:r w:rsidRPr="000D4B17">
        <w:rPr>
          <w:rFonts w:ascii="Arial" w:hAnsi="Arial" w:cs="Arial"/>
          <w:b/>
          <w:bCs/>
        </w:rPr>
        <w:t xml:space="preserve">PAY </w:t>
      </w:r>
      <w:r w:rsidR="002C0799" w:rsidRPr="000D4B17">
        <w:rPr>
          <w:rFonts w:ascii="Arial" w:hAnsi="Arial" w:cs="Arial"/>
          <w:b/>
          <w:bCs/>
        </w:rPr>
        <w:t>GAP</w:t>
      </w:r>
    </w:p>
    <w:p w14:paraId="0E3E1797" w14:textId="7F1BC0F0" w:rsidR="002C0799" w:rsidRPr="000D4B17" w:rsidRDefault="002C0799" w:rsidP="00B66A2D">
      <w:pPr>
        <w:spacing w:after="0" w:line="240" w:lineRule="auto"/>
        <w:jc w:val="both"/>
        <w:textAlignment w:val="baseline"/>
        <w:rPr>
          <w:rFonts w:ascii="Arial" w:hAnsi="Arial" w:cs="Arial"/>
        </w:rPr>
      </w:pPr>
    </w:p>
    <w:p w14:paraId="66C5A328" w14:textId="3337369F" w:rsidR="002C0799" w:rsidRPr="000D4B17" w:rsidRDefault="002C0799" w:rsidP="00B66A2D">
      <w:pPr>
        <w:spacing w:after="0" w:line="240" w:lineRule="auto"/>
        <w:jc w:val="both"/>
        <w:textAlignment w:val="baseline"/>
        <w:rPr>
          <w:rFonts w:ascii="Arial" w:hAnsi="Arial" w:cs="Arial"/>
        </w:rPr>
      </w:pPr>
      <w:r w:rsidRPr="000D4B17">
        <w:rPr>
          <w:rFonts w:ascii="Arial" w:hAnsi="Arial" w:cs="Arial"/>
        </w:rPr>
        <w:t>New Directions does not pay staff bonus.</w:t>
      </w:r>
    </w:p>
    <w:p w14:paraId="487ED51C" w14:textId="30134E0D" w:rsidR="00DC36F0" w:rsidRPr="000D4B17" w:rsidRDefault="00DC36F0" w:rsidP="00B66A2D">
      <w:pPr>
        <w:spacing w:after="0" w:line="240" w:lineRule="auto"/>
        <w:jc w:val="both"/>
        <w:textAlignment w:val="baseline"/>
        <w:rPr>
          <w:rFonts w:ascii="Arial" w:hAnsi="Arial" w:cs="Arial"/>
        </w:rPr>
      </w:pPr>
    </w:p>
    <w:p w14:paraId="7514D5FF" w14:textId="77777777" w:rsidR="00C34A07" w:rsidRDefault="00C34A07" w:rsidP="00B66A2D">
      <w:pPr>
        <w:jc w:val="both"/>
        <w:rPr>
          <w:rFonts w:ascii="Arial" w:hAnsi="Arial" w:cs="Arial"/>
        </w:rPr>
      </w:pPr>
    </w:p>
    <w:p w14:paraId="7C6F6D87" w14:textId="3B629EE2" w:rsidR="00EF3339" w:rsidRPr="000D4B17" w:rsidRDefault="00EF3339" w:rsidP="00B66A2D">
      <w:pPr>
        <w:jc w:val="both"/>
        <w:rPr>
          <w:rFonts w:ascii="Arial" w:hAnsi="Arial" w:cs="Arial"/>
        </w:rPr>
      </w:pPr>
      <w:r w:rsidRPr="000D4B17">
        <w:rPr>
          <w:rFonts w:ascii="Arial" w:hAnsi="Arial" w:cs="Arial"/>
        </w:rPr>
        <w:t>I confirm that our data has been calculated according to the requirements of the Equality Act 2010 (Gender Pay Gap Information) Regulations 2017.</w:t>
      </w:r>
    </w:p>
    <w:p w14:paraId="735490BE" w14:textId="77777777" w:rsidR="003F4E06" w:rsidRPr="000D4B17" w:rsidRDefault="003F4E06">
      <w:pPr>
        <w:rPr>
          <w:rFonts w:ascii="Arial" w:hAnsi="Arial" w:cs="Arial"/>
        </w:rPr>
      </w:pPr>
    </w:p>
    <w:p w14:paraId="7F7F0EB8" w14:textId="0B22C34D" w:rsidR="003D446F" w:rsidRPr="000D4B17" w:rsidRDefault="00D1364A" w:rsidP="00D1364A">
      <w:pPr>
        <w:ind w:left="-340"/>
        <w:rPr>
          <w:rFonts w:ascii="Arial" w:hAnsi="Arial" w:cs="Arial"/>
        </w:rPr>
      </w:pPr>
      <w:r w:rsidRPr="000D4B17">
        <w:rPr>
          <w:rFonts w:ascii="Arial" w:hAnsi="Arial" w:cs="Arial"/>
          <w:noProof/>
        </w:rPr>
        <w:drawing>
          <wp:inline distT="0" distB="0" distL="0" distR="0" wp14:anchorId="4FAB2AB4" wp14:editId="7339A06C">
            <wp:extent cx="1021080" cy="450590"/>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253" cy="467876"/>
                    </a:xfrm>
                    <a:prstGeom prst="rect">
                      <a:avLst/>
                    </a:prstGeom>
                    <a:noFill/>
                    <a:ln>
                      <a:noFill/>
                    </a:ln>
                  </pic:spPr>
                </pic:pic>
              </a:graphicData>
            </a:graphic>
          </wp:inline>
        </w:drawing>
      </w:r>
    </w:p>
    <w:p w14:paraId="545BA34C" w14:textId="77777777" w:rsidR="003F4E06" w:rsidRPr="000D4B17" w:rsidRDefault="003D446F">
      <w:pPr>
        <w:rPr>
          <w:rFonts w:ascii="Arial" w:hAnsi="Arial" w:cs="Arial"/>
          <w:b/>
          <w:bCs/>
        </w:rPr>
      </w:pPr>
      <w:r w:rsidRPr="000D4B17">
        <w:rPr>
          <w:rFonts w:ascii="Arial" w:hAnsi="Arial" w:cs="Arial"/>
          <w:b/>
          <w:bCs/>
        </w:rPr>
        <w:t>Adam Drury</w:t>
      </w:r>
    </w:p>
    <w:p w14:paraId="5EDFB95C" w14:textId="25449D84" w:rsidR="00DA0256" w:rsidRPr="000D4B17" w:rsidRDefault="00DA0256">
      <w:pPr>
        <w:rPr>
          <w:rFonts w:ascii="Arial" w:hAnsi="Arial" w:cs="Arial"/>
          <w:b/>
          <w:bCs/>
        </w:rPr>
      </w:pPr>
      <w:r w:rsidRPr="000D4B17">
        <w:rPr>
          <w:rFonts w:ascii="Arial" w:hAnsi="Arial" w:cs="Arial"/>
          <w:b/>
          <w:bCs/>
        </w:rPr>
        <w:t>Head of HR</w:t>
      </w:r>
    </w:p>
    <w:sectPr w:rsidR="00DA0256" w:rsidRPr="000D4B17" w:rsidSect="00734F32">
      <w:headerReference w:type="default" r:id="rId1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FF41" w14:textId="77777777" w:rsidR="00734489" w:rsidRDefault="00734489" w:rsidP="00B66A2D">
      <w:pPr>
        <w:spacing w:after="0" w:line="240" w:lineRule="auto"/>
      </w:pPr>
      <w:r>
        <w:separator/>
      </w:r>
    </w:p>
  </w:endnote>
  <w:endnote w:type="continuationSeparator" w:id="0">
    <w:p w14:paraId="1ACD5FBD" w14:textId="77777777" w:rsidR="00734489" w:rsidRDefault="00734489" w:rsidP="00B6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39F9" w14:textId="77777777" w:rsidR="00734489" w:rsidRDefault="00734489" w:rsidP="00B66A2D">
      <w:pPr>
        <w:spacing w:after="0" w:line="240" w:lineRule="auto"/>
      </w:pPr>
      <w:r>
        <w:separator/>
      </w:r>
    </w:p>
  </w:footnote>
  <w:footnote w:type="continuationSeparator" w:id="0">
    <w:p w14:paraId="40F91B25" w14:textId="77777777" w:rsidR="00734489" w:rsidRDefault="00734489" w:rsidP="00B6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0B3" w14:textId="6356886D" w:rsidR="000D4B17" w:rsidRDefault="000D4B17" w:rsidP="000D4B17">
    <w:pPr>
      <w:pStyle w:val="Header"/>
      <w:jc w:val="right"/>
    </w:pPr>
    <w:r w:rsidRPr="000D4B17">
      <w:rPr>
        <w:noProof/>
      </w:rPr>
      <w:drawing>
        <wp:inline distT="0" distB="0" distL="0" distR="0" wp14:anchorId="09BCAD9E" wp14:editId="4BEF37A9">
          <wp:extent cx="1590888" cy="45720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8183" cy="4650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39"/>
    <w:rsid w:val="0003395F"/>
    <w:rsid w:val="00060D67"/>
    <w:rsid w:val="000D4B17"/>
    <w:rsid w:val="00115C96"/>
    <w:rsid w:val="00163A78"/>
    <w:rsid w:val="0017063A"/>
    <w:rsid w:val="001C35C0"/>
    <w:rsid w:val="00237DB1"/>
    <w:rsid w:val="002A496B"/>
    <w:rsid w:val="002C0799"/>
    <w:rsid w:val="00313192"/>
    <w:rsid w:val="00367A8C"/>
    <w:rsid w:val="00370EBA"/>
    <w:rsid w:val="003B1E88"/>
    <w:rsid w:val="003D0F7A"/>
    <w:rsid w:val="003D446F"/>
    <w:rsid w:val="003E3384"/>
    <w:rsid w:val="003F4E06"/>
    <w:rsid w:val="004F005C"/>
    <w:rsid w:val="00571F7D"/>
    <w:rsid w:val="005B1D42"/>
    <w:rsid w:val="00730603"/>
    <w:rsid w:val="00734489"/>
    <w:rsid w:val="00734F32"/>
    <w:rsid w:val="009265BE"/>
    <w:rsid w:val="009301EE"/>
    <w:rsid w:val="00A13A5B"/>
    <w:rsid w:val="00A32DBF"/>
    <w:rsid w:val="00AA2EE5"/>
    <w:rsid w:val="00AF62D5"/>
    <w:rsid w:val="00B66A2D"/>
    <w:rsid w:val="00BC690A"/>
    <w:rsid w:val="00BF0B47"/>
    <w:rsid w:val="00BF4CEC"/>
    <w:rsid w:val="00C126D7"/>
    <w:rsid w:val="00C34A07"/>
    <w:rsid w:val="00C452CF"/>
    <w:rsid w:val="00CA17E0"/>
    <w:rsid w:val="00D1364A"/>
    <w:rsid w:val="00D20136"/>
    <w:rsid w:val="00D2241C"/>
    <w:rsid w:val="00D26879"/>
    <w:rsid w:val="00D36572"/>
    <w:rsid w:val="00DA0256"/>
    <w:rsid w:val="00DC36F0"/>
    <w:rsid w:val="00E020D6"/>
    <w:rsid w:val="00E557CE"/>
    <w:rsid w:val="00EC0847"/>
    <w:rsid w:val="00EF3339"/>
    <w:rsid w:val="00F12B5D"/>
    <w:rsid w:val="00F7509F"/>
    <w:rsid w:val="00FD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1EA6"/>
  <w15:chartTrackingRefBased/>
  <w15:docId w15:val="{0A0FAB39-78E7-415A-84C6-7D1BE70E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A2D"/>
  </w:style>
  <w:style w:type="paragraph" w:styleId="Footer">
    <w:name w:val="footer"/>
    <w:basedOn w:val="Normal"/>
    <w:link w:val="FooterChar"/>
    <w:uiPriority w:val="99"/>
    <w:unhideWhenUsed/>
    <w:rsid w:val="00B6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9210">
      <w:bodyDiv w:val="1"/>
      <w:marLeft w:val="0"/>
      <w:marRight w:val="0"/>
      <w:marTop w:val="0"/>
      <w:marBottom w:val="0"/>
      <w:divBdr>
        <w:top w:val="none" w:sz="0" w:space="0" w:color="auto"/>
        <w:left w:val="none" w:sz="0" w:space="0" w:color="auto"/>
        <w:bottom w:val="none" w:sz="0" w:space="0" w:color="auto"/>
        <w:right w:val="none" w:sz="0" w:space="0" w:color="auto"/>
      </w:divBdr>
    </w:div>
    <w:div w:id="872352953">
      <w:bodyDiv w:val="1"/>
      <w:marLeft w:val="0"/>
      <w:marRight w:val="0"/>
      <w:marTop w:val="0"/>
      <w:marBottom w:val="0"/>
      <w:divBdr>
        <w:top w:val="none" w:sz="0" w:space="0" w:color="auto"/>
        <w:left w:val="none" w:sz="0" w:space="0" w:color="auto"/>
        <w:bottom w:val="none" w:sz="0" w:space="0" w:color="auto"/>
        <w:right w:val="none" w:sz="0" w:space="0" w:color="auto"/>
      </w:divBdr>
    </w:div>
    <w:div w:id="11355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DACB.6F60F380"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Lower Quartile</c:v>
                </c:pt>
                <c:pt idx="1">
                  <c:v>Lower Mid Quartile</c:v>
                </c:pt>
                <c:pt idx="2">
                  <c:v>Upper Mid Quartile</c:v>
                </c:pt>
                <c:pt idx="3">
                  <c:v>Upper Quartile</c:v>
                </c:pt>
              </c:strCache>
            </c:strRef>
          </c:cat>
          <c:val>
            <c:numRef>
              <c:f>Sheet1!$B$2:$B$5</c:f>
              <c:numCache>
                <c:formatCode>General</c:formatCode>
                <c:ptCount val="4"/>
                <c:pt idx="0">
                  <c:v>11.24</c:v>
                </c:pt>
                <c:pt idx="1">
                  <c:v>6.74</c:v>
                </c:pt>
                <c:pt idx="2">
                  <c:v>14.77</c:v>
                </c:pt>
                <c:pt idx="3">
                  <c:v>12.36</c:v>
                </c:pt>
              </c:numCache>
            </c:numRef>
          </c:val>
          <c:extLst>
            <c:ext xmlns:c16="http://schemas.microsoft.com/office/drawing/2014/chart" uri="{C3380CC4-5D6E-409C-BE32-E72D297353CC}">
              <c16:uniqueId val="{00000000-CEF2-492A-B1E9-436193CF627F}"/>
            </c:ext>
          </c:extLst>
        </c:ser>
        <c:ser>
          <c:idx val="1"/>
          <c:order val="1"/>
          <c:tx>
            <c:strRef>
              <c:f>Sheet1!$C$1</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Lower Quartile</c:v>
                </c:pt>
                <c:pt idx="1">
                  <c:v>Lower Mid Quartile</c:v>
                </c:pt>
                <c:pt idx="2">
                  <c:v>Upper Mid Quartile</c:v>
                </c:pt>
                <c:pt idx="3">
                  <c:v>Upper Quartile</c:v>
                </c:pt>
              </c:strCache>
            </c:strRef>
          </c:cat>
          <c:val>
            <c:numRef>
              <c:f>Sheet1!$C$2:$C$5</c:f>
              <c:numCache>
                <c:formatCode>General</c:formatCode>
                <c:ptCount val="4"/>
                <c:pt idx="0">
                  <c:v>88.76</c:v>
                </c:pt>
                <c:pt idx="1">
                  <c:v>93.26</c:v>
                </c:pt>
                <c:pt idx="2">
                  <c:v>85.23</c:v>
                </c:pt>
                <c:pt idx="3">
                  <c:v>87.64</c:v>
                </c:pt>
              </c:numCache>
            </c:numRef>
          </c:val>
          <c:extLst>
            <c:ext xmlns:c16="http://schemas.microsoft.com/office/drawing/2014/chart" uri="{C3380CC4-5D6E-409C-BE32-E72D297353CC}">
              <c16:uniqueId val="{00000001-CEF2-492A-B1E9-436193CF627F}"/>
            </c:ext>
          </c:extLst>
        </c:ser>
        <c:dLbls>
          <c:showLegendKey val="0"/>
          <c:showVal val="0"/>
          <c:showCatName val="0"/>
          <c:showSerName val="0"/>
          <c:showPercent val="0"/>
          <c:showBubbleSize val="0"/>
        </c:dLbls>
        <c:gapWidth val="182"/>
        <c:axId val="476991968"/>
        <c:axId val="528236224"/>
      </c:barChart>
      <c:catAx>
        <c:axId val="47699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236224"/>
        <c:crosses val="autoZero"/>
        <c:auto val="1"/>
        <c:lblAlgn val="ctr"/>
        <c:lblOffset val="100"/>
        <c:noMultiLvlLbl val="0"/>
      </c:catAx>
      <c:valAx>
        <c:axId val="528236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99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decb3e-9efd-4035-b747-6f7787b178b5" xsi:nil="true"/>
    <lcf76f155ced4ddcb4097134ff3c332f xmlns="2efb6557-c224-4187-9a4f-89842031c5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23E4D184BFA4B83FECC8141F7E820" ma:contentTypeVersion="13" ma:contentTypeDescription="Create a new document." ma:contentTypeScope="" ma:versionID="3d4df899a802a2af5d6a287481bcab28">
  <xsd:schema xmlns:xsd="http://www.w3.org/2001/XMLSchema" xmlns:xs="http://www.w3.org/2001/XMLSchema" xmlns:p="http://schemas.microsoft.com/office/2006/metadata/properties" xmlns:ns2="1bdecb3e-9efd-4035-b747-6f7787b178b5" xmlns:ns3="2efb6557-c224-4187-9a4f-89842031c505" targetNamespace="http://schemas.microsoft.com/office/2006/metadata/properties" ma:root="true" ma:fieldsID="0bd18b859404634261fb460903de5152" ns2:_="" ns3:_="">
    <xsd:import namespace="1bdecb3e-9efd-4035-b747-6f7787b178b5"/>
    <xsd:import namespace="2efb6557-c224-4187-9a4f-89842031c5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ecb3e-9efd-4035-b747-6f7787b178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76d4d7-3657-4179-a388-527c563f90eb}" ma:internalName="TaxCatchAll" ma:showField="CatchAllData" ma:web="1bdecb3e-9efd-4035-b747-6f7787b178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b6557-c224-4187-9a4f-89842031c5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71aa39-7e5f-4778-a284-e68f41e977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B88C5-9544-47B4-B9A9-38C0A22D80B3}">
  <ds:schemaRefs>
    <ds:schemaRef ds:uri="http://schemas.microsoft.com/office/2006/metadata/properties"/>
    <ds:schemaRef ds:uri="http://schemas.microsoft.com/office/infopath/2007/PartnerControls"/>
    <ds:schemaRef ds:uri="1bdecb3e-9efd-4035-b747-6f7787b178b5"/>
    <ds:schemaRef ds:uri="2efb6557-c224-4187-9a4f-89842031c505"/>
  </ds:schemaRefs>
</ds:datastoreItem>
</file>

<file path=customXml/itemProps2.xml><?xml version="1.0" encoding="utf-8"?>
<ds:datastoreItem xmlns:ds="http://schemas.openxmlformats.org/officeDocument/2006/customXml" ds:itemID="{9A1ADE43-7BE6-46AC-8E8D-CFEACC3955AF}">
  <ds:schemaRefs>
    <ds:schemaRef ds:uri="http://schemas.microsoft.com/sharepoint/v3/contenttype/forms"/>
  </ds:schemaRefs>
</ds:datastoreItem>
</file>

<file path=customXml/itemProps3.xml><?xml version="1.0" encoding="utf-8"?>
<ds:datastoreItem xmlns:ds="http://schemas.openxmlformats.org/officeDocument/2006/customXml" ds:itemID="{001B7E9E-1714-40B2-8643-F94EBD45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ecb3e-9efd-4035-b747-6f7787b178b5"/>
    <ds:schemaRef ds:uri="2efb6557-c224-4187-9a4f-89842031c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Davies</dc:creator>
  <cp:keywords/>
  <dc:description/>
  <cp:lastModifiedBy>Adam Drury</cp:lastModifiedBy>
  <cp:revision>4</cp:revision>
  <cp:lastPrinted>2023-05-22T13:40:00Z</cp:lastPrinted>
  <dcterms:created xsi:type="dcterms:W3CDTF">2023-05-22T13:53:00Z</dcterms:created>
  <dcterms:modified xsi:type="dcterms:W3CDTF">2023-05-22T13:55:00Z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0x010100D0F23E4D184BFA4B83FECC8141F7E820</vt:lpwstr>
  </property>
  <property fmtid="{D5CDD505-2E9C-101B-9397-08002B2CF9AE}" pid="3" name="MediaServiceImageTags">
    <vt:lpwstr/>
  </property>
</Properties>
</file>